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1" w:rsidRDefault="000606C1" w:rsidP="00AB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06C1" w:rsidRDefault="000606C1" w:rsidP="00AB0F6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</w:rPr>
      </w:pPr>
      <w:r w:rsidRPr="002F1AB5"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135AE145" wp14:editId="2080BDF4">
            <wp:simplePos x="0" y="0"/>
            <wp:positionH relativeFrom="page">
              <wp:posOffset>914400</wp:posOffset>
            </wp:positionH>
            <wp:positionV relativeFrom="page">
              <wp:posOffset>862965</wp:posOffset>
            </wp:positionV>
            <wp:extent cx="1673225" cy="612140"/>
            <wp:effectExtent l="0" t="0" r="3175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G logo squares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AB5">
        <w:rPr>
          <w:rFonts w:ascii="Times New Roman" w:hAnsi="Times New Roman" w:cs="Times New Roman"/>
          <w:b/>
          <w:sz w:val="24"/>
        </w:rPr>
        <w:t>Victor Valley Adult Education Regional Consortium</w:t>
      </w:r>
      <w:r w:rsidRPr="002F1AB5">
        <w:rPr>
          <w:rFonts w:ascii="Times New Roman" w:eastAsia="Calibri" w:hAnsi="Times New Roman" w:cs="Times New Roman"/>
          <w:b/>
          <w:noProof/>
          <w:sz w:val="32"/>
          <w:szCs w:val="28"/>
        </w:rPr>
        <w:t xml:space="preserve"> </w:t>
      </w:r>
    </w:p>
    <w:p w:rsidR="000606C1" w:rsidRDefault="000606C1" w:rsidP="0006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</w:rPr>
      </w:pPr>
      <w:r w:rsidRPr="000606C1">
        <w:rPr>
          <w:rFonts w:ascii="Times New Roman" w:eastAsia="Calibri" w:hAnsi="Times New Roman" w:cs="Times New Roman"/>
          <w:b/>
          <w:noProof/>
          <w:sz w:val="24"/>
          <w:szCs w:val="28"/>
        </w:rPr>
        <w:t xml:space="preserve">Three Year Regional Plan </w:t>
      </w:r>
    </w:p>
    <w:p w:rsidR="001E17E2" w:rsidRPr="000606C1" w:rsidRDefault="001E17E2" w:rsidP="0006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</w:rPr>
        <w:t>Amendment #1</w:t>
      </w:r>
      <w:bookmarkStart w:id="0" w:name="_GoBack"/>
      <w:bookmarkEnd w:id="0"/>
    </w:p>
    <w:p w:rsidR="00612501" w:rsidRPr="000606C1" w:rsidRDefault="00612501" w:rsidP="00AB0F6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</w:rPr>
      </w:pPr>
    </w:p>
    <w:p w:rsidR="000606C1" w:rsidRDefault="00AB0F6B" w:rsidP="006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F6B">
        <w:rPr>
          <w:rFonts w:ascii="Times New Roman" w:hAnsi="Times New Roman" w:cs="Times New Roman"/>
          <w:b/>
          <w:sz w:val="24"/>
          <w:szCs w:val="24"/>
        </w:rPr>
        <w:t>Amendment #1</w:t>
      </w:r>
      <w:r w:rsidR="00612501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626B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606C1">
        <w:rPr>
          <w:rFonts w:ascii="Times New Roman" w:hAnsi="Times New Roman" w:cs="Times New Roman"/>
          <w:b/>
          <w:sz w:val="24"/>
          <w:szCs w:val="24"/>
        </w:rPr>
        <w:t>Victor Valley Adult Education</w:t>
      </w:r>
      <w:r w:rsidR="00333F76">
        <w:rPr>
          <w:rFonts w:ascii="Times New Roman" w:hAnsi="Times New Roman" w:cs="Times New Roman"/>
          <w:b/>
          <w:sz w:val="24"/>
          <w:szCs w:val="24"/>
        </w:rPr>
        <w:t xml:space="preserve"> Regional Consortium</w:t>
      </w:r>
      <w:r w:rsidR="00C17E2C">
        <w:rPr>
          <w:rFonts w:ascii="Times New Roman" w:hAnsi="Times New Roman" w:cs="Times New Roman"/>
          <w:b/>
          <w:sz w:val="24"/>
          <w:szCs w:val="24"/>
        </w:rPr>
        <w:t>’s</w:t>
      </w:r>
      <w:r w:rsidR="00333F76">
        <w:rPr>
          <w:rFonts w:ascii="Times New Roman" w:hAnsi="Times New Roman" w:cs="Times New Roman"/>
          <w:b/>
          <w:sz w:val="24"/>
          <w:szCs w:val="24"/>
        </w:rPr>
        <w:t xml:space="preserve"> (VVAERC)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“Three Year Regional Plan” submitted to the California Community College Chancellor’s Office for the March 1, 2015 deadline.</w:t>
      </w:r>
    </w:p>
    <w:p w:rsidR="000606C1" w:rsidRDefault="000606C1" w:rsidP="006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ABA" w:rsidRDefault="0061250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BA">
        <w:rPr>
          <w:rFonts w:ascii="Times New Roman" w:hAnsi="Times New Roman" w:cs="Times New Roman"/>
          <w:sz w:val="24"/>
          <w:szCs w:val="24"/>
        </w:rPr>
        <w:t xml:space="preserve">This </w:t>
      </w:r>
      <w:r w:rsidR="00626B21">
        <w:rPr>
          <w:rFonts w:ascii="Times New Roman" w:hAnsi="Times New Roman" w:cs="Times New Roman"/>
          <w:sz w:val="24"/>
          <w:szCs w:val="24"/>
        </w:rPr>
        <w:t xml:space="preserve">amendment to the </w:t>
      </w:r>
      <w:r w:rsidR="00764ADC">
        <w:rPr>
          <w:rFonts w:ascii="Times New Roman" w:hAnsi="Times New Roman" w:cs="Times New Roman"/>
          <w:sz w:val="24"/>
          <w:szCs w:val="24"/>
        </w:rPr>
        <w:t>“Three Y</w:t>
      </w:r>
      <w:r w:rsidR="000606C1">
        <w:rPr>
          <w:rFonts w:ascii="Times New Roman" w:hAnsi="Times New Roman" w:cs="Times New Roman"/>
          <w:sz w:val="24"/>
          <w:szCs w:val="24"/>
        </w:rPr>
        <w:t xml:space="preserve">ear </w:t>
      </w:r>
      <w:r w:rsidR="00764ADC">
        <w:rPr>
          <w:rFonts w:ascii="Times New Roman" w:hAnsi="Times New Roman" w:cs="Times New Roman"/>
          <w:sz w:val="24"/>
          <w:szCs w:val="24"/>
        </w:rPr>
        <w:t>Consortium P</w:t>
      </w:r>
      <w:r w:rsidR="000606C1">
        <w:rPr>
          <w:rFonts w:ascii="Times New Roman" w:hAnsi="Times New Roman" w:cs="Times New Roman"/>
          <w:sz w:val="24"/>
          <w:szCs w:val="24"/>
        </w:rPr>
        <w:t>lan</w:t>
      </w:r>
      <w:r w:rsidR="00764ADC">
        <w:rPr>
          <w:rFonts w:ascii="Times New Roman" w:hAnsi="Times New Roman" w:cs="Times New Roman"/>
          <w:sz w:val="24"/>
          <w:szCs w:val="24"/>
        </w:rPr>
        <w:t>”</w:t>
      </w:r>
      <w:r w:rsidR="000606C1">
        <w:rPr>
          <w:rFonts w:ascii="Times New Roman" w:hAnsi="Times New Roman" w:cs="Times New Roman"/>
          <w:sz w:val="24"/>
          <w:szCs w:val="24"/>
        </w:rPr>
        <w:t xml:space="preserve"> </w:t>
      </w:r>
      <w:r w:rsidRPr="00D84ABA">
        <w:rPr>
          <w:rFonts w:ascii="Times New Roman" w:hAnsi="Times New Roman" w:cs="Times New Roman"/>
          <w:sz w:val="24"/>
          <w:szCs w:val="24"/>
        </w:rPr>
        <w:t xml:space="preserve">is </w:t>
      </w:r>
      <w:r w:rsidR="000606C1">
        <w:rPr>
          <w:rFonts w:ascii="Times New Roman" w:hAnsi="Times New Roman" w:cs="Times New Roman"/>
          <w:sz w:val="24"/>
          <w:szCs w:val="24"/>
        </w:rPr>
        <w:t>recommended by the VVAERC</w:t>
      </w:r>
      <w:r w:rsidRPr="00D84ABA">
        <w:rPr>
          <w:rFonts w:ascii="Times New Roman" w:hAnsi="Times New Roman" w:cs="Times New Roman"/>
          <w:sz w:val="24"/>
          <w:szCs w:val="24"/>
        </w:rPr>
        <w:t xml:space="preserve"> </w:t>
      </w:r>
      <w:r w:rsidR="00333F76">
        <w:rPr>
          <w:rFonts w:ascii="Times New Roman" w:hAnsi="Times New Roman" w:cs="Times New Roman"/>
          <w:sz w:val="24"/>
          <w:szCs w:val="24"/>
        </w:rPr>
        <w:t xml:space="preserve">in order to secure required resources to implement regional strategies to address Adult Education </w:t>
      </w:r>
      <w:r w:rsidR="005D42BD">
        <w:rPr>
          <w:rFonts w:ascii="Times New Roman" w:hAnsi="Times New Roman" w:cs="Times New Roman"/>
          <w:sz w:val="24"/>
          <w:szCs w:val="24"/>
        </w:rPr>
        <w:t>s</w:t>
      </w:r>
      <w:r w:rsidR="00333F76">
        <w:rPr>
          <w:rFonts w:ascii="Times New Roman" w:hAnsi="Times New Roman" w:cs="Times New Roman"/>
          <w:sz w:val="24"/>
          <w:szCs w:val="24"/>
        </w:rPr>
        <w:t>ervice gaps in the Victor Valley Region.</w:t>
      </w:r>
    </w:p>
    <w:p w:rsidR="00333F76" w:rsidRDefault="00333F76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BA" w:rsidRDefault="00D84ABA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4ADC">
        <w:rPr>
          <w:rFonts w:ascii="Times New Roman" w:hAnsi="Times New Roman" w:cs="Times New Roman"/>
          <w:sz w:val="24"/>
          <w:szCs w:val="24"/>
        </w:rPr>
        <w:t xml:space="preserve">Amended </w:t>
      </w:r>
      <w:r w:rsidR="00333F76">
        <w:rPr>
          <w:rFonts w:ascii="Times New Roman" w:hAnsi="Times New Roman" w:cs="Times New Roman"/>
          <w:sz w:val="24"/>
          <w:szCs w:val="24"/>
        </w:rPr>
        <w:t xml:space="preserve">Three Year Regional Plan was approved by </w:t>
      </w:r>
      <w:r w:rsidR="005D42BD">
        <w:rPr>
          <w:rFonts w:ascii="Times New Roman" w:hAnsi="Times New Roman" w:cs="Times New Roman"/>
          <w:sz w:val="24"/>
          <w:szCs w:val="24"/>
        </w:rPr>
        <w:t>the CCCCO on Jan</w:t>
      </w:r>
      <w:r w:rsidR="004A127F">
        <w:rPr>
          <w:rFonts w:ascii="Times New Roman" w:hAnsi="Times New Roman" w:cs="Times New Roman"/>
          <w:sz w:val="24"/>
          <w:szCs w:val="24"/>
        </w:rPr>
        <w:t>uary 13, 2016.</w:t>
      </w: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53D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THEREFORE, in consideration of the mutual covenants herein set forth and the mutual benefits to be derived therefrom, the </w:t>
      </w:r>
      <w:r w:rsidR="004A127F">
        <w:rPr>
          <w:rFonts w:ascii="Times New Roman" w:hAnsi="Times New Roman" w:cs="Times New Roman"/>
          <w:sz w:val="24"/>
          <w:szCs w:val="24"/>
        </w:rPr>
        <w:t xml:space="preserve">VVAERC </w:t>
      </w:r>
      <w:r>
        <w:rPr>
          <w:rFonts w:ascii="Times New Roman" w:hAnsi="Times New Roman" w:cs="Times New Roman"/>
          <w:sz w:val="24"/>
          <w:szCs w:val="24"/>
        </w:rPr>
        <w:t>agree</w:t>
      </w:r>
      <w:r w:rsidR="004A12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amend the </w:t>
      </w:r>
      <w:r w:rsidR="004A127F">
        <w:rPr>
          <w:rFonts w:ascii="Times New Roman" w:hAnsi="Times New Roman" w:cs="Times New Roman"/>
          <w:sz w:val="24"/>
          <w:szCs w:val="24"/>
        </w:rPr>
        <w:t xml:space="preserve">March 1, 2015 </w:t>
      </w:r>
      <w:r w:rsidR="00764ADC">
        <w:rPr>
          <w:rFonts w:ascii="Times New Roman" w:hAnsi="Times New Roman" w:cs="Times New Roman"/>
          <w:sz w:val="24"/>
          <w:szCs w:val="24"/>
        </w:rPr>
        <w:t xml:space="preserve">Three Year Consortium Plan </w:t>
      </w:r>
      <w:r w:rsidR="004A127F">
        <w:rPr>
          <w:rFonts w:ascii="Times New Roman" w:hAnsi="Times New Roman" w:cs="Times New Roman"/>
          <w:sz w:val="24"/>
          <w:szCs w:val="24"/>
        </w:rPr>
        <w:t>Regional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>and Amended Three Year Consortium Plan</w:t>
      </w:r>
      <w:r w:rsidR="002F7818">
        <w:rPr>
          <w:rFonts w:ascii="Times New Roman" w:hAnsi="Times New Roman" w:cs="Times New Roman"/>
          <w:sz w:val="24"/>
          <w:szCs w:val="24"/>
        </w:rPr>
        <w:t xml:space="preserve"> to include the </w:t>
      </w:r>
      <w:r>
        <w:rPr>
          <w:rFonts w:ascii="Times New Roman" w:hAnsi="Times New Roman" w:cs="Times New Roman"/>
          <w:sz w:val="24"/>
          <w:szCs w:val="24"/>
        </w:rPr>
        <w:t>follow</w:t>
      </w:r>
      <w:r w:rsidR="002F781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818" w:rsidRDefault="002F7818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626B21" w:rsidP="006C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amend the </w:t>
      </w:r>
      <w:r w:rsidR="00C17E2C">
        <w:rPr>
          <w:rFonts w:ascii="Times New Roman" w:hAnsi="Times New Roman" w:cs="Times New Roman"/>
          <w:sz w:val="24"/>
          <w:szCs w:val="24"/>
        </w:rPr>
        <w:t>VVAERC “Three Year Consortium Plan</w:t>
      </w:r>
      <w:r>
        <w:rPr>
          <w:rFonts w:ascii="Times New Roman" w:hAnsi="Times New Roman" w:cs="Times New Roman"/>
          <w:sz w:val="24"/>
          <w:szCs w:val="24"/>
        </w:rPr>
        <w:t xml:space="preserve"> language under </w:t>
      </w:r>
      <w:r w:rsidR="00C17E2C">
        <w:rPr>
          <w:rFonts w:ascii="Times New Roman" w:hAnsi="Times New Roman" w:cs="Times New Roman"/>
          <w:sz w:val="24"/>
          <w:szCs w:val="24"/>
        </w:rPr>
        <w:t>Table 4.1</w:t>
      </w:r>
      <w:r w:rsidR="00C17E2C" w:rsidRPr="00C17E2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17E2C" w:rsidRPr="00C17E2C">
        <w:rPr>
          <w:rFonts w:ascii="Times New Roman" w:hAnsi="Times New Roman" w:cs="Times New Roman"/>
          <w:sz w:val="24"/>
          <w:szCs w:val="24"/>
        </w:rPr>
        <w:t xml:space="preserve">Table 4.1: Implementation Strategies to Address Identified Gaps </w:t>
      </w:r>
      <w:r w:rsidR="00AE5C4D">
        <w:rPr>
          <w:rFonts w:ascii="Times New Roman" w:hAnsi="Times New Roman" w:cs="Times New Roman"/>
          <w:sz w:val="24"/>
          <w:szCs w:val="24"/>
        </w:rPr>
        <w:t xml:space="preserve">to add </w:t>
      </w:r>
      <w:r w:rsidR="00C17E2C">
        <w:rPr>
          <w:rFonts w:ascii="Times New Roman" w:hAnsi="Times New Roman" w:cs="Times New Roman"/>
          <w:sz w:val="24"/>
          <w:szCs w:val="24"/>
        </w:rPr>
        <w:t xml:space="preserve">the </w:t>
      </w:r>
      <w:r w:rsidR="00AE5C4D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51"/>
        <w:tblW w:w="10130" w:type="dxa"/>
        <w:tblInd w:w="-4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2"/>
        <w:gridCol w:w="1485"/>
        <w:gridCol w:w="1793"/>
        <w:gridCol w:w="1160"/>
        <w:gridCol w:w="1505"/>
        <w:gridCol w:w="1489"/>
        <w:gridCol w:w="1066"/>
      </w:tblGrid>
      <w:tr w:rsidR="00AE5C4D" w:rsidRPr="00AE5C4D" w:rsidTr="0062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0" w:type="dxa"/>
            <w:gridSpan w:val="7"/>
          </w:tcPr>
          <w:p w:rsidR="00AE5C4D" w:rsidRPr="00AE5C4D" w:rsidRDefault="00AE5C4D" w:rsidP="00AE5C4D">
            <w:pPr>
              <w:spacing w:line="267" w:lineRule="exact"/>
              <w:ind w:left="14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5C4D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Table</w:t>
            </w:r>
            <w:r w:rsidRPr="00AE5C4D">
              <w:rPr>
                <w:rFonts w:ascii="Times New Roman" w:eastAsia="Calibri" w:hAnsi="Times New Roman"/>
                <w:spacing w:val="1"/>
                <w:sz w:val="18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z w:val="18"/>
                <w:szCs w:val="18"/>
              </w:rPr>
              <w:t xml:space="preserve">4.1: </w:t>
            </w:r>
            <w:r w:rsidRPr="00AE5C4D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Implementation</w:t>
            </w:r>
            <w:r w:rsidRPr="00AE5C4D">
              <w:rPr>
                <w:rFonts w:ascii="Times New Roman" w:eastAsia="Calibri" w:hAnsi="Times New Roman"/>
                <w:spacing w:val="-2"/>
                <w:sz w:val="18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z w:val="18"/>
                <w:szCs w:val="18"/>
              </w:rPr>
              <w:t>Strategies</w:t>
            </w:r>
            <w:r w:rsidRPr="00AE5C4D">
              <w:rPr>
                <w:rFonts w:ascii="Times New Roman" w:eastAsia="Calibri" w:hAnsi="Times New Roman"/>
                <w:spacing w:val="-2"/>
                <w:sz w:val="18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z w:val="18"/>
                <w:szCs w:val="18"/>
              </w:rPr>
              <w:t xml:space="preserve">to </w:t>
            </w:r>
            <w:r w:rsidRPr="00AE5C4D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Address</w:t>
            </w:r>
            <w:r w:rsidRPr="00AE5C4D">
              <w:rPr>
                <w:rFonts w:ascii="Times New Roman" w:eastAsia="Calibri" w:hAnsi="Times New Roman"/>
                <w:spacing w:val="-2"/>
                <w:sz w:val="18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z w:val="18"/>
                <w:szCs w:val="18"/>
              </w:rPr>
              <w:t>Identified</w:t>
            </w:r>
            <w:r w:rsidRPr="00AE5C4D">
              <w:rPr>
                <w:rFonts w:ascii="Times New Roman" w:eastAsia="Calibri" w:hAnsi="Times New Roman"/>
                <w:spacing w:val="-2"/>
                <w:sz w:val="18"/>
                <w:szCs w:val="18"/>
              </w:rPr>
              <w:t xml:space="preserve"> Gaps</w:t>
            </w:r>
          </w:p>
        </w:tc>
      </w:tr>
      <w:tr w:rsidR="002B267F" w:rsidRPr="00AE5C4D" w:rsidTr="00C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AE5C4D" w:rsidRPr="00AE5C4D" w:rsidRDefault="00AE5C4D" w:rsidP="00475F97">
            <w:pPr>
              <w:spacing w:before="4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AE5C4D" w:rsidRPr="00AE5C4D" w:rsidRDefault="00AE5C4D" w:rsidP="00475F97">
            <w:pPr>
              <w:ind w:left="719" w:right="205" w:hanging="521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/>
                <w:spacing w:val="-1"/>
                <w:sz w:val="16"/>
                <w:szCs w:val="18"/>
              </w:rPr>
              <w:t>Description</w:t>
            </w:r>
            <w:r w:rsidRPr="00AE5C4D">
              <w:rPr>
                <w:rFonts w:ascii="Times New Roman" w:eastAsia="Calibri" w:hAnsi="Times New Roman"/>
                <w:spacing w:val="-2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pacing w:val="1"/>
                <w:sz w:val="16"/>
                <w:szCs w:val="18"/>
              </w:rPr>
              <w:t>of</w:t>
            </w:r>
            <w:r w:rsidRPr="00AE5C4D">
              <w:rPr>
                <w:rFonts w:ascii="Times New Roman" w:eastAsia="Calibri" w:hAnsi="Times New Roman"/>
                <w:spacing w:val="-6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pacing w:val="-1"/>
                <w:sz w:val="16"/>
                <w:szCs w:val="18"/>
              </w:rPr>
              <w:t>the</w:t>
            </w:r>
            <w:r w:rsidRPr="00AE5C4D">
              <w:rPr>
                <w:rFonts w:ascii="Times New Roman" w:eastAsia="Calibri" w:hAnsi="Times New Roman"/>
                <w:spacing w:val="22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/>
                <w:sz w:val="16"/>
                <w:szCs w:val="18"/>
              </w:rPr>
              <w:t>Gap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spacing w:line="238" w:lineRule="auto"/>
              <w:ind w:left="242" w:right="24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Strategies to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Address</w:t>
            </w: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8"/>
              </w:rPr>
              <w:t>the</w:t>
            </w:r>
            <w:r w:rsidRPr="00AE5C4D">
              <w:rPr>
                <w:rFonts w:ascii="Times New Roman" w:eastAsia="Calibri" w:hAnsi="Times New Roman" w:cs="Times New Roman"/>
                <w:b/>
                <w:spacing w:val="26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Gap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ind w:left="422" w:right="311" w:hanging="1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Resources</w:t>
            </w:r>
            <w:r w:rsidRPr="00AE5C4D">
              <w:rPr>
                <w:rFonts w:ascii="Times New Roman" w:eastAsia="Calibri" w:hAnsi="Times New Roman" w:cs="Times New Roman"/>
                <w:b/>
                <w:spacing w:val="24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ind w:left="262" w:right="143" w:hanging="116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Estimate</w:t>
            </w:r>
            <w:r w:rsidRPr="00AE5C4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1"/>
                <w:sz w:val="16"/>
                <w:szCs w:val="18"/>
              </w:rPr>
              <w:t>of</w:t>
            </w:r>
            <w:r w:rsidRPr="00AE5C4D">
              <w:rPr>
                <w:rFonts w:ascii="Times New Roman" w:eastAsia="Calibri" w:hAnsi="Times New Roman" w:cs="Times New Roman"/>
                <w:b/>
                <w:spacing w:val="26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8"/>
              </w:rPr>
              <w:t>the</w:t>
            </w:r>
            <w:r w:rsidRPr="00AE5C4D">
              <w:rPr>
                <w:rFonts w:ascii="Times New Roman" w:eastAsia="Calibri" w:hAnsi="Times New Roman" w:cs="Times New Roman"/>
                <w:b/>
                <w:spacing w:val="3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Cost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ind w:left="131" w:right="133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Responsible</w:t>
            </w:r>
            <w:r w:rsidRPr="00AE5C4D">
              <w:rPr>
                <w:rFonts w:ascii="Times New Roman" w:eastAsia="Calibri" w:hAnsi="Times New Roman" w:cs="Times New Roman"/>
                <w:b/>
                <w:spacing w:val="19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Parties</w:t>
            </w:r>
            <w:r w:rsidRPr="00AE5C4D">
              <w:rPr>
                <w:rFonts w:ascii="Times New Roman" w:eastAsia="Calibri" w:hAnsi="Times New Roman" w:cs="Times New Roman"/>
                <w:b/>
                <w:spacing w:val="24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(Specific</w:t>
            </w:r>
            <w:r w:rsidRPr="00AE5C4D">
              <w:rPr>
                <w:rFonts w:ascii="Times New Roman" w:eastAsia="Calibri" w:hAnsi="Times New Roman" w:cs="Times New Roman"/>
                <w:b/>
                <w:spacing w:val="24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school</w:t>
            </w:r>
            <w:r w:rsidRPr="00AE5C4D">
              <w:rPr>
                <w:rFonts w:ascii="Times New Roman" w:eastAsia="Calibri" w:hAnsi="Times New Roman" w:cs="Times New Roman"/>
                <w:b/>
                <w:spacing w:val="26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district(s)</w:t>
            </w:r>
            <w:r w:rsidRPr="00AE5C4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or</w:t>
            </w:r>
            <w:r w:rsidRPr="00AE5C4D">
              <w:rPr>
                <w:rFonts w:ascii="Times New Roman" w:eastAsia="Calibri" w:hAnsi="Times New Roman" w:cs="Times New Roman"/>
                <w:b/>
                <w:spacing w:val="20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college(s))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AE5C4D" w:rsidRPr="00AE5C4D" w:rsidRDefault="00AE5C4D" w:rsidP="00475F97">
            <w:pPr>
              <w:ind w:left="226" w:right="231" w:firstLine="12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Methods</w:t>
            </w:r>
            <w:r w:rsidRPr="00AE5C4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1"/>
                <w:sz w:val="16"/>
                <w:szCs w:val="18"/>
              </w:rPr>
              <w:t>of</w:t>
            </w:r>
            <w:r w:rsidRPr="00AE5C4D">
              <w:rPr>
                <w:rFonts w:ascii="Times New Roman" w:eastAsia="Calibri" w:hAnsi="Times New Roman" w:cs="Times New Roman"/>
                <w:b/>
                <w:spacing w:val="22"/>
                <w:sz w:val="16"/>
                <w:szCs w:val="18"/>
              </w:rPr>
              <w:t xml:space="preserve"> </w:t>
            </w:r>
            <w:r w:rsidRPr="00AE5C4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8"/>
              </w:rPr>
              <w:t>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AE5C4D" w:rsidRPr="00AE5C4D" w:rsidRDefault="00AE5C4D" w:rsidP="00475F97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475F97" w:rsidRPr="00475F97" w:rsidRDefault="00475F97" w:rsidP="00475F97">
            <w:pPr>
              <w:ind w:left="239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AE5C4D" w:rsidRPr="00AE5C4D" w:rsidRDefault="00AE5C4D" w:rsidP="00475F97">
            <w:pPr>
              <w:ind w:left="239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E5C4D">
              <w:rPr>
                <w:rFonts w:ascii="Times New Roman" w:eastAsia="Calibri" w:hAnsi="Times New Roman"/>
                <w:sz w:val="16"/>
                <w:szCs w:val="18"/>
              </w:rPr>
              <w:t>T</w:t>
            </w:r>
            <w:r w:rsidRPr="00AE5C4D">
              <w:rPr>
                <w:rFonts w:ascii="Times New Roman" w:eastAsia="Calibri" w:hAnsi="Times New Roman"/>
                <w:spacing w:val="1"/>
                <w:sz w:val="16"/>
                <w:szCs w:val="18"/>
              </w:rPr>
              <w:t>i</w:t>
            </w:r>
            <w:r w:rsidRPr="00AE5C4D">
              <w:rPr>
                <w:rFonts w:ascii="Times New Roman" w:eastAsia="Calibri" w:hAnsi="Times New Roman"/>
                <w:spacing w:val="-6"/>
                <w:sz w:val="16"/>
                <w:szCs w:val="18"/>
              </w:rPr>
              <w:t>m</w:t>
            </w:r>
            <w:r w:rsidRPr="00AE5C4D">
              <w:rPr>
                <w:rFonts w:ascii="Times New Roman" w:eastAsia="Calibri" w:hAnsi="Times New Roman"/>
                <w:sz w:val="16"/>
                <w:szCs w:val="18"/>
              </w:rPr>
              <w:t>e</w:t>
            </w:r>
            <w:r w:rsidRPr="00AE5C4D">
              <w:rPr>
                <w:rFonts w:ascii="Times New Roman" w:eastAsia="Calibri" w:hAnsi="Times New Roman"/>
                <w:spacing w:val="1"/>
                <w:sz w:val="16"/>
                <w:szCs w:val="18"/>
              </w:rPr>
              <w:t>li</w:t>
            </w:r>
            <w:r w:rsidRPr="00AE5C4D">
              <w:rPr>
                <w:rFonts w:ascii="Times New Roman" w:eastAsia="Calibri" w:hAnsi="Times New Roman"/>
                <w:spacing w:val="-5"/>
                <w:sz w:val="16"/>
                <w:szCs w:val="18"/>
              </w:rPr>
              <w:t>n</w:t>
            </w:r>
            <w:r w:rsidRPr="00AE5C4D">
              <w:rPr>
                <w:rFonts w:ascii="Times New Roman" w:eastAsia="Calibri" w:hAnsi="Times New Roman"/>
                <w:sz w:val="16"/>
                <w:szCs w:val="18"/>
              </w:rPr>
              <w:t>e</w:t>
            </w:r>
          </w:p>
        </w:tc>
      </w:tr>
      <w:tr w:rsidR="002B267F" w:rsidRPr="00AE5C4D" w:rsidTr="002A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AE5C4D" w:rsidRPr="000665D7" w:rsidRDefault="00623B34" w:rsidP="00AE5C4D">
            <w:pPr>
              <w:spacing w:line="238" w:lineRule="auto"/>
              <w:ind w:left="103" w:right="243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bCs w:val="0"/>
                <w:spacing w:val="-1"/>
                <w:sz w:val="18"/>
                <w:szCs w:val="18"/>
              </w:rPr>
              <w:t>Lack and Loss</w:t>
            </w:r>
            <w:r w:rsidRPr="000665D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1"/>
                <w:sz w:val="18"/>
                <w:szCs w:val="18"/>
              </w:rPr>
              <w:t>of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1"/>
                <w:sz w:val="18"/>
                <w:szCs w:val="18"/>
              </w:rPr>
              <w:t>adult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22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1"/>
                <w:sz w:val="18"/>
                <w:szCs w:val="18"/>
              </w:rPr>
              <w:t>education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programs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24"/>
                <w:sz w:val="18"/>
                <w:szCs w:val="18"/>
              </w:rPr>
              <w:t xml:space="preserve"> </w:t>
            </w:r>
            <w:r w:rsidR="00BC6AF0" w:rsidRPr="000665D7">
              <w:rPr>
                <w:rFonts w:ascii="Times New Roman" w:eastAsia="Calibri" w:hAnsi="Times New Roman"/>
                <w:b w:val="0"/>
                <w:bCs w:val="0"/>
                <w:spacing w:val="24"/>
                <w:sz w:val="18"/>
                <w:szCs w:val="18"/>
              </w:rPr>
              <w:t xml:space="preserve">and services 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1"/>
                <w:sz w:val="18"/>
                <w:szCs w:val="18"/>
              </w:rPr>
              <w:t>in</w:t>
            </w:r>
            <w:r w:rsidRPr="000665D7">
              <w:rPr>
                <w:rFonts w:ascii="Times New Roman" w:eastAsia="Calibri" w:hAnsi="Times New Roman"/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="00DA1C03" w:rsidRPr="000665D7">
              <w:rPr>
                <w:rFonts w:ascii="Times New Roman" w:eastAsia="Calibri" w:hAnsi="Times New Roman"/>
                <w:b w:val="0"/>
                <w:bCs w:val="0"/>
                <w:spacing w:val="-4"/>
                <w:sz w:val="18"/>
                <w:szCs w:val="18"/>
              </w:rPr>
              <w:t xml:space="preserve">the </w:t>
            </w:r>
            <w:r w:rsidRPr="000665D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Victor Valley Region.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AE5C4D" w:rsidRPr="000665D7" w:rsidRDefault="00BC6AF0" w:rsidP="00DA1C03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Expand, </w:t>
            </w:r>
            <w:r w:rsidR="00475F97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 and implement </w:t>
            </w:r>
            <w:r w:rsidR="00AE5C4D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Adult Education instructional </w:t>
            </w:r>
            <w:r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support </w:t>
            </w:r>
            <w:r w:rsidR="00AE5C4D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>services</w:t>
            </w:r>
            <w:r w:rsidR="00475F97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A1C03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AWD, </w:t>
            </w:r>
            <w:r w:rsidR="00AE5C4D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ESL, CTE, </w:t>
            </w:r>
            <w:r w:rsidR="00DA1C03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ABE, ASE, </w:t>
            </w:r>
            <w:r w:rsidR="00475F97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workforce </w:t>
            </w:r>
            <w:r w:rsidR="00AE5C4D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>skills,</w:t>
            </w:r>
            <w:r w:rsidR="00475F97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high school diploma completion, 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AE5C4D" w:rsidRPr="000665D7" w:rsidRDefault="00DA1C03" w:rsidP="00DA1C03">
            <w:pPr>
              <w:spacing w:line="238" w:lineRule="auto"/>
              <w:ind w:left="103" w:right="2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Teaching staff, </w:t>
            </w:r>
            <w:r w:rsidR="00AE5C4D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Facilities,</w:t>
            </w:r>
            <w:r w:rsidR="002A44F5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office supplies &amp;</w:t>
            </w:r>
            <w:r w:rsidR="00475F97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42F14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furniture, classroom</w:t>
            </w:r>
            <w:r w:rsidR="002A44F5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supplies &amp;</w:t>
            </w:r>
            <w:r w:rsidR="00E42F14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furniture, </w:t>
            </w:r>
            <w:r w:rsidR="00220A35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computers</w:t>
            </w:r>
            <w:r w:rsidR="00E42F14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, training, </w:t>
            </w:r>
            <w:r w:rsidR="00220A35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instructional technology</w:t>
            </w:r>
            <w:r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, administrator salary, support staff, curriculum, </w:t>
            </w:r>
            <w:r w:rsidR="00CB153D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release</w:t>
            </w:r>
            <w:r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time</w:t>
            </w:r>
            <w:r w:rsidR="00CB153D"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, promotional materials, campus security, professional development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AE5C4D" w:rsidRPr="000665D7" w:rsidRDefault="00AE5C4D" w:rsidP="00AE5C4D">
            <w:pPr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4D" w:rsidRPr="000665D7" w:rsidRDefault="00835891" w:rsidP="00CB153D">
            <w:pPr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$</w:t>
            </w:r>
            <w:r w:rsidR="00CB153D" w:rsidRPr="000665D7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1,500,000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AE5C4D" w:rsidRPr="000665D7" w:rsidRDefault="00623B34" w:rsidP="00AE5C4D">
            <w:pPr>
              <w:ind w:left="102" w:right="1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consortium members </w:t>
            </w:r>
            <w:r w:rsidR="00475F97" w:rsidRPr="000665D7">
              <w:rPr>
                <w:rFonts w:ascii="Times New Roman" w:eastAsia="Times New Roman" w:hAnsi="Times New Roman" w:cs="Times New Roman"/>
                <w:sz w:val="18"/>
                <w:szCs w:val="18"/>
              </w:rPr>
              <w:t>and Project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AE5C4D" w:rsidRPr="000665D7" w:rsidRDefault="00623B34" w:rsidP="00623B34">
            <w:pPr>
              <w:spacing w:before="1"/>
              <w:ind w:left="103" w:righ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z w:val="18"/>
                <w:szCs w:val="18"/>
              </w:rPr>
              <w:t>Report on enrollment numbers, retention and success rates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AE5C4D" w:rsidRPr="000665D7" w:rsidRDefault="00475F97" w:rsidP="00AE5C4D">
            <w:pPr>
              <w:spacing w:line="198" w:lineRule="exact"/>
              <w:ind w:left="103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Spring-</w:t>
            </w:r>
            <w:r w:rsidR="00AE5C4D"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Fall 2016</w:t>
            </w:r>
          </w:p>
        </w:tc>
      </w:tr>
      <w:tr w:rsidR="002B267F" w:rsidRPr="00AE5C4D" w:rsidTr="006C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AE5C4D" w:rsidRPr="000665D7" w:rsidRDefault="00220A35" w:rsidP="00AE5C4D">
            <w:pPr>
              <w:spacing w:line="194" w:lineRule="exact"/>
              <w:ind w:left="103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  <w:lastRenderedPageBreak/>
              <w:t>Lack of</w:t>
            </w:r>
          </w:p>
          <w:p w:rsidR="00AE5C4D" w:rsidRPr="000665D7" w:rsidRDefault="00AE5C4D" w:rsidP="00220A35">
            <w:pPr>
              <w:spacing w:before="1" w:line="239" w:lineRule="auto"/>
              <w:ind w:left="103" w:right="125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  <w:t>work</w:t>
            </w:r>
            <w:r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  <w:t>preparation</w:t>
            </w:r>
            <w:r w:rsidRPr="000665D7">
              <w:rPr>
                <w:rFonts w:ascii="Times New Roman" w:eastAsia="Calibri" w:hAnsi="Times New Roman"/>
                <w:b w:val="0"/>
                <w:spacing w:val="-4"/>
                <w:sz w:val="18"/>
                <w:szCs w:val="18"/>
              </w:rPr>
              <w:t xml:space="preserve"> </w:t>
            </w:r>
            <w:r w:rsidR="00220A35" w:rsidRPr="000665D7">
              <w:rPr>
                <w:rFonts w:ascii="Times New Roman" w:eastAsia="Calibri" w:hAnsi="Times New Roman"/>
                <w:b w:val="0"/>
                <w:spacing w:val="-4"/>
                <w:sz w:val="18"/>
                <w:szCs w:val="18"/>
              </w:rPr>
              <w:t>and short term</w:t>
            </w:r>
            <w:r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 </w:t>
            </w:r>
            <w:r w:rsidR="00220A35"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career training and certification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AE5C4D" w:rsidRPr="000665D7" w:rsidRDefault="00AE5C4D" w:rsidP="00AE5C4D">
            <w:pPr>
              <w:spacing w:line="19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z w:val="18"/>
                <w:szCs w:val="18"/>
              </w:rPr>
              <w:t>Assess current</w:t>
            </w:r>
          </w:p>
          <w:p w:rsidR="00AE5C4D" w:rsidRPr="000665D7" w:rsidRDefault="00AE5C4D" w:rsidP="00CB153D">
            <w:pPr>
              <w:spacing w:before="1"/>
              <w:ind w:left="103" w:right="2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adults </w:t>
            </w:r>
            <w:r w:rsidR="00475F97" w:rsidRPr="000665D7">
              <w:rPr>
                <w:rFonts w:ascii="Times New Roman" w:eastAsia="Calibri" w:hAnsi="Times New Roman"/>
                <w:sz w:val="18"/>
                <w:szCs w:val="18"/>
              </w:rPr>
              <w:t>seeking work</w:t>
            </w:r>
            <w:r w:rsidR="00CB153D" w:rsidRPr="000665D7">
              <w:rPr>
                <w:rFonts w:ascii="Times New Roman" w:eastAsia="Calibri" w:hAnsi="Times New Roman"/>
                <w:sz w:val="18"/>
                <w:szCs w:val="18"/>
              </w:rPr>
              <w:t xml:space="preserve"> to evaluate job/soft skills</w:t>
            </w:r>
            <w:r w:rsidR="00475F97" w:rsidRPr="000665D7">
              <w:rPr>
                <w:rFonts w:ascii="Times New Roman" w:eastAsia="Calibri" w:hAnsi="Times New Roman"/>
                <w:sz w:val="18"/>
                <w:szCs w:val="18"/>
              </w:rPr>
              <w:t xml:space="preserve"> and offer work skills training 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AE5C4D" w:rsidRPr="000665D7" w:rsidRDefault="00AE5C4D" w:rsidP="00AE5C4D">
            <w:pPr>
              <w:spacing w:line="194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Faculty,</w:t>
            </w:r>
          </w:p>
          <w:p w:rsidR="00AE5C4D" w:rsidRPr="000665D7" w:rsidRDefault="00AE5C4D" w:rsidP="00AE5C4D">
            <w:pPr>
              <w:spacing w:before="2" w:line="238" w:lineRule="auto"/>
              <w:ind w:left="10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Facilities,</w:t>
            </w:r>
            <w:r w:rsidRPr="000665D7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 w:cs="Times New Roman"/>
                <w:sz w:val="18"/>
                <w:szCs w:val="18"/>
              </w:rPr>
              <w:t>staff,</w:t>
            </w:r>
            <w:r w:rsidR="00220A35" w:rsidRPr="000665D7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administration </w:t>
            </w:r>
            <w:r w:rsidR="00475F97"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Software, curriculum, assessment tools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AE5C4D" w:rsidRPr="000665D7" w:rsidRDefault="00DA3D3C" w:rsidP="00AE5C4D">
            <w:pPr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$50,000</w:t>
            </w:r>
          </w:p>
          <w:p w:rsidR="00AE5C4D" w:rsidRPr="000665D7" w:rsidRDefault="00AE5C4D" w:rsidP="00AE5C4D">
            <w:pPr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AE5C4D" w:rsidRPr="000665D7" w:rsidRDefault="00475F97" w:rsidP="00AE5C4D">
            <w:pPr>
              <w:spacing w:before="1" w:line="239" w:lineRule="auto"/>
              <w:ind w:left="102" w:right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/>
                <w:sz w:val="18"/>
                <w:szCs w:val="18"/>
              </w:rPr>
              <w:t>Districts and Project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AE5C4D" w:rsidRPr="000665D7" w:rsidRDefault="00DA3D3C" w:rsidP="00AE5C4D">
            <w:pPr>
              <w:spacing w:before="1"/>
              <w:ind w:left="103" w:righ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 w:cs="Times New Roman"/>
                <w:sz w:val="18"/>
                <w:szCs w:val="18"/>
              </w:rPr>
              <w:t>Number of program participants and program completion rate</w:t>
            </w:r>
            <w:r w:rsidRPr="000665D7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AE5C4D" w:rsidRPr="000665D7" w:rsidRDefault="00475F97" w:rsidP="00AE5C4D">
            <w:pPr>
              <w:spacing w:line="194" w:lineRule="exact"/>
              <w:ind w:left="103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Spring-Fall 2016</w:t>
            </w:r>
          </w:p>
        </w:tc>
      </w:tr>
      <w:tr w:rsidR="002B267F" w:rsidRPr="00AE5C4D" w:rsidTr="006C3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623B34" w:rsidRPr="000665D7" w:rsidRDefault="003B179F" w:rsidP="00E42F14">
            <w:pPr>
              <w:spacing w:line="194" w:lineRule="exact"/>
              <w:ind w:left="103"/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Need for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Research</w:t>
            </w:r>
            <w:r w:rsidR="00623B34" w:rsidRPr="000665D7">
              <w:rPr>
                <w:rFonts w:ascii="Times New Roman" w:hAnsi="Times New Roman"/>
                <w:b w:val="0"/>
                <w:spacing w:val="1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data </w:t>
            </w:r>
            <w:r w:rsidR="00623B34" w:rsidRPr="000665D7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="00623B34" w:rsidRPr="000665D7">
              <w:rPr>
                <w:rFonts w:ascii="Times New Roman" w:hAnsi="Times New Roman"/>
                <w:b w:val="0"/>
                <w:spacing w:val="28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inventory</w:t>
            </w:r>
            <w:r w:rsidR="00623B34" w:rsidRPr="000665D7"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of</w:t>
            </w:r>
            <w:r w:rsidR="00623B34" w:rsidRPr="000665D7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z w:val="18"/>
                <w:szCs w:val="18"/>
              </w:rPr>
              <w:t>who</w:t>
            </w:r>
            <w:r w:rsidR="00623B34" w:rsidRPr="000665D7"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1"/>
                <w:sz w:val="18"/>
                <w:szCs w:val="18"/>
              </w:rPr>
              <w:t>are</w:t>
            </w:r>
            <w:r w:rsidR="00623B34" w:rsidRPr="000665D7">
              <w:rPr>
                <w:rFonts w:ascii="Times New Roman" w:hAnsi="Times New Roman"/>
                <w:b w:val="0"/>
                <w:spacing w:val="28"/>
                <w:sz w:val="18"/>
                <w:szCs w:val="18"/>
              </w:rPr>
              <w:t xml:space="preserve"> our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students</w:t>
            </w:r>
            <w:r w:rsidR="00623B34" w:rsidRPr="000665D7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2"/>
                <w:sz w:val="18"/>
                <w:szCs w:val="18"/>
              </w:rPr>
              <w:t>by</w:t>
            </w:r>
            <w:r w:rsidR="00623B34" w:rsidRPr="000665D7">
              <w:rPr>
                <w:rFonts w:ascii="Times New Roman" w:hAnsi="Times New Roman"/>
                <w:b w:val="0"/>
                <w:spacing w:val="-7"/>
                <w:sz w:val="18"/>
                <w:szCs w:val="18"/>
              </w:rPr>
              <w:t xml:space="preserve"> demographics, </w:t>
            </w:r>
            <w:r w:rsidR="00623B34" w:rsidRPr="000665D7">
              <w:rPr>
                <w:rFonts w:ascii="Times New Roman" w:hAnsi="Times New Roman"/>
                <w:b w:val="0"/>
                <w:sz w:val="18"/>
                <w:szCs w:val="18"/>
              </w:rPr>
              <w:t>program</w:t>
            </w:r>
            <w:r w:rsidR="00E42F14" w:rsidRPr="000665D7">
              <w:rPr>
                <w:rFonts w:ascii="Times New Roman" w:hAnsi="Times New Roman"/>
                <w:b w:val="0"/>
                <w:spacing w:val="27"/>
                <w:sz w:val="18"/>
                <w:szCs w:val="18"/>
              </w:rPr>
              <w:t xml:space="preserve">,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background,</w:t>
            </w:r>
            <w:r w:rsidR="00623B34" w:rsidRPr="000665D7">
              <w:rPr>
                <w:rFonts w:ascii="Times New Roman" w:hAnsi="Times New Roman"/>
                <w:b w:val="0"/>
                <w:spacing w:val="28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objective,</w:t>
            </w:r>
            <w:r w:rsidR="00623B34" w:rsidRPr="000665D7">
              <w:rPr>
                <w:rFonts w:ascii="Times New Roman" w:hAnsi="Times New Roman"/>
                <w:b w:val="0"/>
                <w:spacing w:val="-3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z w:val="18"/>
                <w:szCs w:val="18"/>
              </w:rPr>
              <w:t>profile,</w:t>
            </w:r>
            <w:r w:rsidR="00623B34" w:rsidRPr="000665D7">
              <w:rPr>
                <w:rFonts w:ascii="Times New Roman" w:hAnsi="Times New Roman"/>
                <w:b w:val="0"/>
                <w:spacing w:val="24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and</w:t>
            </w:r>
            <w:r w:rsidR="00623B34" w:rsidRPr="000665D7">
              <w:rPr>
                <w:rFonts w:ascii="Times New Roman" w:hAnsi="Times New Roman"/>
                <w:b w:val="0"/>
                <w:spacing w:val="1"/>
                <w:sz w:val="18"/>
                <w:szCs w:val="18"/>
              </w:rPr>
              <w:t xml:space="preserve"> </w:t>
            </w:r>
            <w:r w:rsidR="00623B34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goals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623B34" w:rsidRPr="000665D7" w:rsidRDefault="00623B34" w:rsidP="00CB153D">
            <w:pPr>
              <w:spacing w:line="194" w:lineRule="exact"/>
              <w:ind w:left="103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spacing w:val="-1"/>
                <w:sz w:val="18"/>
                <w:szCs w:val="18"/>
              </w:rPr>
              <w:t>Common</w:t>
            </w:r>
            <w:r w:rsidR="00BF296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student data management</w:t>
            </w:r>
            <w:r w:rsidRPr="000665D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s</w:t>
            </w:r>
            <w:r w:rsidR="003B179F" w:rsidRPr="000665D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ystem across region that generates student participation reports </w:t>
            </w:r>
            <w:r w:rsidR="00E42F14" w:rsidRPr="000665D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and allows for shared data.  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623B34" w:rsidRPr="000665D7" w:rsidRDefault="003B179F" w:rsidP="00AE5C4D">
            <w:pPr>
              <w:spacing w:line="194" w:lineRule="exact"/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2"/>
                <w:sz w:val="18"/>
                <w:szCs w:val="18"/>
              </w:rPr>
              <w:t xml:space="preserve">Data management system, software, staff to manage and track data, computer, </w:t>
            </w:r>
            <w:r w:rsidR="00220A35" w:rsidRPr="000665D7">
              <w:rPr>
                <w:rFonts w:ascii="Times New Roman" w:eastAsia="Calibri" w:hAnsi="Times New Roman"/>
                <w:spacing w:val="-2"/>
                <w:sz w:val="18"/>
                <w:szCs w:val="18"/>
              </w:rPr>
              <w:t>and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623B34" w:rsidRPr="000665D7" w:rsidRDefault="00B2274E" w:rsidP="00AE5C4D">
            <w:pPr>
              <w:spacing w:before="1"/>
              <w:ind w:left="99"/>
              <w:rPr>
                <w:rFonts w:ascii="Times New Roman" w:eastAsia="Calibri" w:hAnsi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$50,000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623B34" w:rsidRPr="000665D7" w:rsidRDefault="003B179F" w:rsidP="00AE5C4D">
            <w:pPr>
              <w:spacing w:before="1" w:line="239" w:lineRule="auto"/>
              <w:ind w:left="102" w:right="1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/>
                <w:sz w:val="18"/>
                <w:szCs w:val="18"/>
              </w:rPr>
              <w:t>VVAERC Consortia 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623B34" w:rsidRPr="000665D7" w:rsidRDefault="003B179F" w:rsidP="00AE5C4D">
            <w:pPr>
              <w:spacing w:before="1"/>
              <w:ind w:left="103" w:right="2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Publish</w:t>
            </w:r>
            <w:r w:rsidRPr="000665D7">
              <w:rPr>
                <w:rFonts w:ascii="Times New Roman" w:eastAsia="Calibri" w:hAnsi="Times New Roman"/>
                <w:spacing w:val="1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data</w:t>
            </w:r>
            <w:r w:rsidRPr="000665D7">
              <w:rPr>
                <w:rFonts w:ascii="Times New Roman" w:eastAsia="Calibri" w:hAnsi="Times New Roman"/>
                <w:spacing w:val="26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report</w:t>
            </w:r>
            <w:r w:rsidRPr="000665D7">
              <w:rPr>
                <w:rFonts w:ascii="Times New Roman" w:eastAsia="Calibri" w:hAnsi="Times New Roman"/>
                <w:sz w:val="18"/>
                <w:szCs w:val="18"/>
              </w:rPr>
              <w:t xml:space="preserve"> and</w:t>
            </w:r>
            <w:r w:rsidRPr="000665D7">
              <w:rPr>
                <w:rFonts w:ascii="Times New Roman" w:eastAsia="Calibri" w:hAnsi="Times New Roman"/>
                <w:spacing w:val="24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distribute</w:t>
            </w:r>
            <w:r w:rsidRPr="000665D7">
              <w:rPr>
                <w:rFonts w:ascii="Times New Roman" w:eastAsia="Calibri" w:hAnsi="Times New Roman"/>
                <w:spacing w:val="-6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z w:val="18"/>
                <w:szCs w:val="18"/>
              </w:rPr>
              <w:t>to</w:t>
            </w:r>
            <w:r w:rsidRPr="000665D7">
              <w:rPr>
                <w:rFonts w:ascii="Times New Roman" w:eastAsia="Calibri" w:hAnsi="Times New Roman"/>
                <w:spacing w:val="27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region</w:t>
            </w:r>
            <w:r w:rsidRPr="000665D7">
              <w:rPr>
                <w:rFonts w:ascii="Times New Roman" w:eastAsia="Calibri" w:hAnsi="Times New Roman"/>
                <w:spacing w:val="22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members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623B34" w:rsidRPr="000665D7" w:rsidRDefault="003B179F" w:rsidP="00AE5C4D">
            <w:pPr>
              <w:spacing w:line="194" w:lineRule="exact"/>
              <w:ind w:left="103"/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Spring-Fall 2016</w:t>
            </w:r>
          </w:p>
        </w:tc>
      </w:tr>
      <w:tr w:rsidR="002B267F" w:rsidRPr="00AE5C4D" w:rsidTr="00C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3B179F" w:rsidRPr="000665D7" w:rsidRDefault="0013502C" w:rsidP="00623B34">
            <w:pPr>
              <w:spacing w:line="194" w:lineRule="exact"/>
              <w:ind w:left="103"/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Need for continued</w:t>
            </w:r>
            <w:r w:rsidR="003B179F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 Adult Educ</w:t>
            </w: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ation expanded collaborative efforts with consortia members, stakeholders, </w:t>
            </w:r>
            <w:r w:rsidR="00220A35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and the</w:t>
            </w: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3B179F" w:rsidRPr="000665D7" w:rsidRDefault="003B179F" w:rsidP="00AE5C4D">
            <w:pPr>
              <w:spacing w:line="194" w:lineRule="exact"/>
              <w:ind w:left="10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spacing w:val="-1"/>
                <w:sz w:val="18"/>
                <w:szCs w:val="18"/>
              </w:rPr>
              <w:t>Regional Collaboration, trainings,</w:t>
            </w:r>
            <w:r w:rsidR="0013502C" w:rsidRPr="000665D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meetings</w:t>
            </w:r>
            <w:r w:rsidRPr="000665D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seminars, professional development highlighting the strategies being implemented and Adult Education best practices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3B179F" w:rsidRPr="000665D7" w:rsidRDefault="0013502C" w:rsidP="00AE5C4D">
            <w:pPr>
              <w:spacing w:line="194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pacing w:val="-2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2"/>
                <w:sz w:val="18"/>
                <w:szCs w:val="18"/>
              </w:rPr>
              <w:t>Facilities expenses, facilitators, seminar meals, meeting refreshments, materials and supplies, travel for facilitators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3B179F" w:rsidRPr="000665D7" w:rsidRDefault="00CE7535" w:rsidP="00AE5C4D">
            <w:pPr>
              <w:spacing w:before="1"/>
              <w:ind w:left="99"/>
              <w:rPr>
                <w:rFonts w:ascii="Times New Roman" w:eastAsia="Calibri" w:hAnsi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$50</w:t>
            </w:r>
            <w:r w:rsidR="00B2274E"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,000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3B179F" w:rsidRPr="000665D7" w:rsidRDefault="0013502C" w:rsidP="00AE5C4D">
            <w:pPr>
              <w:spacing w:before="1" w:line="239" w:lineRule="auto"/>
              <w:ind w:left="102" w:right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/>
                <w:sz w:val="18"/>
                <w:szCs w:val="18"/>
              </w:rPr>
              <w:t>VVAERC Project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3B179F" w:rsidRPr="000665D7" w:rsidRDefault="0013502C" w:rsidP="00AE5C4D">
            <w:pPr>
              <w:spacing w:before="1"/>
              <w:ind w:left="103" w:right="237"/>
              <w:rPr>
                <w:rFonts w:ascii="Times New Roman" w:eastAsia="Calibri" w:hAnsi="Times New Roman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spacing w:val="-1"/>
                <w:sz w:val="18"/>
                <w:szCs w:val="18"/>
              </w:rPr>
              <w:t>Regional participation in meetings, professional development sessions, events and seminars.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3B179F" w:rsidRPr="000665D7" w:rsidRDefault="003B179F" w:rsidP="00AE5C4D">
            <w:pPr>
              <w:spacing w:line="194" w:lineRule="exact"/>
              <w:ind w:left="103"/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</w:pPr>
          </w:p>
        </w:tc>
      </w:tr>
      <w:tr w:rsidR="002B267F" w:rsidRPr="00AE5C4D" w:rsidTr="000531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Mar>
              <w:left w:w="0" w:type="dxa"/>
              <w:right w:w="0" w:type="dxa"/>
            </w:tcMar>
          </w:tcPr>
          <w:p w:rsidR="00BC6AF0" w:rsidRPr="000665D7" w:rsidRDefault="00053109" w:rsidP="00053109">
            <w:pPr>
              <w:spacing w:line="194" w:lineRule="exact"/>
              <w:ind w:left="103"/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Students taking ESL</w:t>
            </w:r>
            <w:r w:rsidR="002A44F5"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, ABE</w:t>
            </w: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, &amp; ASE, and HSD, and non-credit courses are not progressing to short term programs that lead to employment in a reasonable time.</w:t>
            </w:r>
            <w:r w:rsidR="00C6391E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 xml:space="preserve"> </w:t>
            </w: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Need to accelerate student progress in ESL, ABE, ASE, and CTE.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Mar>
              <w:left w:w="0" w:type="dxa"/>
              <w:right w:w="0" w:type="dxa"/>
            </w:tcMar>
          </w:tcPr>
          <w:p w:rsidR="00BC6AF0" w:rsidRPr="000665D7" w:rsidRDefault="00053109" w:rsidP="006F1685">
            <w:pPr>
              <w:spacing w:line="194" w:lineRule="exact"/>
              <w:ind w:left="103"/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hAnsi="Times New Roman"/>
                <w:b w:val="0"/>
                <w:spacing w:val="-1"/>
                <w:sz w:val="18"/>
                <w:szCs w:val="18"/>
              </w:rPr>
              <w:t>Explore national leading model for e</w:t>
            </w:r>
            <w:r w:rsidRPr="000665D7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nhanced contextualized </w:t>
            </w:r>
            <w:r w:rsidR="00373D6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learning </w:t>
            </w:r>
            <w:r w:rsidRPr="000665D7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to link basic skills to career and educational goals</w:t>
            </w:r>
          </w:p>
        </w:tc>
        <w:tc>
          <w:tcPr>
            <w:tcW w:w="1793" w:type="dxa"/>
            <w:tcMar>
              <w:left w:w="0" w:type="dxa"/>
              <w:right w:w="0" w:type="dxa"/>
            </w:tcMar>
          </w:tcPr>
          <w:p w:rsidR="00BC6AF0" w:rsidRPr="000665D7" w:rsidRDefault="00053109" w:rsidP="00AE5C4D">
            <w:pPr>
              <w:spacing w:line="194" w:lineRule="exact"/>
              <w:ind w:lef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Travel expenses, facilitator fees, training cost, workshops meals and refreshments, materials and supplies, curr</w:t>
            </w:r>
            <w:r w:rsidR="006F1685"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iculum, faculty, adminis</w:t>
            </w:r>
            <w:r w:rsidR="00373D6A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trators, instructional supplies, contracted services.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  <w:tcMar>
              <w:left w:w="0" w:type="dxa"/>
              <w:right w:w="0" w:type="dxa"/>
            </w:tcMar>
          </w:tcPr>
          <w:p w:rsidR="00BC6AF0" w:rsidRPr="000665D7" w:rsidRDefault="00053109" w:rsidP="00AE5C4D">
            <w:pPr>
              <w:spacing w:before="1"/>
              <w:ind w:left="99"/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  <w:t>$40,000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:rsidR="00BC6AF0" w:rsidRPr="000665D7" w:rsidRDefault="00053109" w:rsidP="00AE5C4D">
            <w:pPr>
              <w:spacing w:before="1" w:line="239" w:lineRule="auto"/>
              <w:ind w:left="102" w:right="1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0665D7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dxa"/>
            <w:tcMar>
              <w:left w:w="0" w:type="dxa"/>
              <w:right w:w="0" w:type="dxa"/>
            </w:tcMar>
          </w:tcPr>
          <w:p w:rsidR="00BC6AF0" w:rsidRPr="000665D7" w:rsidRDefault="002B267F" w:rsidP="002B267F">
            <w:pPr>
              <w:spacing w:before="1"/>
              <w:ind w:left="103" w:right="237"/>
              <w:rPr>
                <w:rFonts w:ascii="Times New Roman" w:eastAsia="Calibri" w:hAnsi="Times New Roman"/>
                <w:b w:val="0"/>
                <w:spacing w:val="-1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Timeline to </w:t>
            </w:r>
            <w:r w:rsidR="00053109"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>Develop</w:t>
            </w:r>
            <w:r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 </w:t>
            </w:r>
            <w:r w:rsidR="00053109" w:rsidRPr="000665D7">
              <w:rPr>
                <w:rFonts w:ascii="Times New Roman" w:eastAsia="Calibri" w:hAnsi="Times New Roman"/>
                <w:b w:val="0"/>
                <w:sz w:val="18"/>
                <w:szCs w:val="18"/>
              </w:rPr>
              <w:t xml:space="preserve">contextualized courses and curriculum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6" w:type="dxa"/>
            <w:tcMar>
              <w:left w:w="0" w:type="dxa"/>
              <w:right w:w="0" w:type="dxa"/>
            </w:tcMar>
          </w:tcPr>
          <w:p w:rsidR="00BC6AF0" w:rsidRPr="000665D7" w:rsidRDefault="00053109" w:rsidP="00AE5C4D">
            <w:pPr>
              <w:spacing w:line="194" w:lineRule="exact"/>
              <w:ind w:left="103"/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</w:pPr>
            <w:r w:rsidRPr="000665D7">
              <w:rPr>
                <w:rFonts w:ascii="Times New Roman" w:eastAsia="Calibri" w:hAnsi="Times New Roman"/>
                <w:b w:val="0"/>
                <w:spacing w:val="-2"/>
                <w:sz w:val="18"/>
                <w:szCs w:val="18"/>
              </w:rPr>
              <w:t>2015-2016</w:t>
            </w:r>
          </w:p>
        </w:tc>
      </w:tr>
    </w:tbl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2C">
        <w:rPr>
          <w:rFonts w:ascii="Times New Roman" w:hAnsi="Times New Roman" w:cs="Times New Roman"/>
          <w:sz w:val="24"/>
          <w:szCs w:val="24"/>
        </w:rPr>
        <w:t>Cost amounts li</w:t>
      </w:r>
      <w:r w:rsidR="002F7818">
        <w:rPr>
          <w:rFonts w:ascii="Times New Roman" w:hAnsi="Times New Roman" w:cs="Times New Roman"/>
          <w:sz w:val="24"/>
          <w:szCs w:val="24"/>
        </w:rPr>
        <w:t>sted are an estimated, actual amounts may vary.</w:t>
      </w: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other terms of </w:t>
      </w:r>
      <w:r w:rsidR="0013502C">
        <w:rPr>
          <w:rFonts w:ascii="Times New Roman" w:hAnsi="Times New Roman" w:cs="Times New Roman"/>
          <w:sz w:val="24"/>
          <w:szCs w:val="24"/>
        </w:rPr>
        <w:t>VVAERC Three Year Regional Consortium Plan</w:t>
      </w:r>
      <w:r>
        <w:rPr>
          <w:rFonts w:ascii="Times New Roman" w:hAnsi="Times New Roman" w:cs="Times New Roman"/>
          <w:sz w:val="24"/>
          <w:szCs w:val="24"/>
        </w:rPr>
        <w:t xml:space="preserve"> will remain in effect.</w:t>
      </w:r>
    </w:p>
    <w:p w:rsidR="000043A1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A1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A1" w:rsidRPr="00D84ABA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43A1" w:rsidRPr="00D8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B"/>
    <w:rsid w:val="000043A1"/>
    <w:rsid w:val="00030CCF"/>
    <w:rsid w:val="00053109"/>
    <w:rsid w:val="000606C1"/>
    <w:rsid w:val="000665D7"/>
    <w:rsid w:val="0013502C"/>
    <w:rsid w:val="00167522"/>
    <w:rsid w:val="001E17E2"/>
    <w:rsid w:val="00220A35"/>
    <w:rsid w:val="00253FD2"/>
    <w:rsid w:val="002A44F5"/>
    <w:rsid w:val="002B267F"/>
    <w:rsid w:val="002F7818"/>
    <w:rsid w:val="00333F76"/>
    <w:rsid w:val="00373D6A"/>
    <w:rsid w:val="003B179F"/>
    <w:rsid w:val="004543CC"/>
    <w:rsid w:val="00475F97"/>
    <w:rsid w:val="004A127F"/>
    <w:rsid w:val="005667AF"/>
    <w:rsid w:val="00583438"/>
    <w:rsid w:val="005D42BD"/>
    <w:rsid w:val="00612501"/>
    <w:rsid w:val="00623B34"/>
    <w:rsid w:val="00626B21"/>
    <w:rsid w:val="00666DC2"/>
    <w:rsid w:val="006C398C"/>
    <w:rsid w:val="006F1685"/>
    <w:rsid w:val="00764ADC"/>
    <w:rsid w:val="00835891"/>
    <w:rsid w:val="00945F6B"/>
    <w:rsid w:val="009526AB"/>
    <w:rsid w:val="009630AB"/>
    <w:rsid w:val="009B0703"/>
    <w:rsid w:val="009E621D"/>
    <w:rsid w:val="00AB0F6B"/>
    <w:rsid w:val="00AE5C4D"/>
    <w:rsid w:val="00B15EB9"/>
    <w:rsid w:val="00B2274E"/>
    <w:rsid w:val="00BC6AF0"/>
    <w:rsid w:val="00BF2963"/>
    <w:rsid w:val="00C17E2C"/>
    <w:rsid w:val="00C31649"/>
    <w:rsid w:val="00C6391E"/>
    <w:rsid w:val="00C80303"/>
    <w:rsid w:val="00CB153D"/>
    <w:rsid w:val="00CE3C59"/>
    <w:rsid w:val="00CE7535"/>
    <w:rsid w:val="00D84ABA"/>
    <w:rsid w:val="00DA1C03"/>
    <w:rsid w:val="00DA3D3C"/>
    <w:rsid w:val="00E42F14"/>
    <w:rsid w:val="00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3069-9ABC-4787-9B20-A454939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51">
    <w:name w:val="Light Grid - Accent 51"/>
    <w:basedOn w:val="TableNormal"/>
    <w:next w:val="LightGrid-Accent5"/>
    <w:uiPriority w:val="62"/>
    <w:rsid w:val="00AE5C4D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E5C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D02D-D9DB-4FD8-AED2-D3B72F6A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17</cp:revision>
  <dcterms:created xsi:type="dcterms:W3CDTF">2016-02-02T00:55:00Z</dcterms:created>
  <dcterms:modified xsi:type="dcterms:W3CDTF">2016-02-02T04:45:00Z</dcterms:modified>
</cp:coreProperties>
</file>