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09" w:rsidRPr="001D1AE5" w:rsidRDefault="002B1609" w:rsidP="002B1609">
      <w:pPr>
        <w:spacing w:after="0"/>
        <w:rPr>
          <w:b/>
          <w:color w:val="2E74B5" w:themeColor="accent1" w:themeShade="BF"/>
          <w:u w:val="single"/>
        </w:rPr>
      </w:pPr>
      <w:r w:rsidRPr="001D1AE5">
        <w:rPr>
          <w:b/>
          <w:color w:val="2E74B5" w:themeColor="accent1" w:themeShade="BF"/>
          <w:u w:val="single"/>
        </w:rPr>
        <w:t>Board Approved May 8, 2017</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b/>
        </w:rPr>
      </w:pPr>
      <w:r>
        <w:rPr>
          <w:b/>
        </w:rPr>
        <w:t>2015-16 Annual Plan Review and Update</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b/>
        </w:rPr>
      </w:pP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b/>
        </w:rPr>
      </w:pPr>
      <w:r>
        <w:rPr>
          <w:b/>
        </w:rPr>
        <w:t>Objective 3: Integration and Seamless Transition</w:t>
      </w:r>
    </w:p>
    <w:p w:rsidR="002B1609" w:rsidRPr="004419B1" w:rsidRDefault="002B1609" w:rsidP="002B1609">
      <w:pPr>
        <w:tabs>
          <w:tab w:val="left" w:pos="720"/>
          <w:tab w:val="left" w:pos="1440"/>
          <w:tab w:val="left" w:pos="2160"/>
          <w:tab w:val="left" w:pos="2880"/>
          <w:tab w:val="left" w:pos="3600"/>
          <w:tab w:val="left" w:pos="4320"/>
          <w:tab w:val="left" w:pos="5040"/>
          <w:tab w:val="left" w:pos="6376"/>
        </w:tabs>
        <w:spacing w:after="0"/>
        <w:rPr>
          <w:strike/>
        </w:rPr>
      </w:pPr>
      <w:r w:rsidRPr="004419B1">
        <w:rPr>
          <w:strike/>
        </w:rPr>
        <w:t>SCAEC has funded a Counselor, and plans to hire an additional Counselor, to work on transition services both between Members and to the workforce.</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r>
        <w:t xml:space="preserve">SCAEC has funded a Transitions Specialist to work with south valley members. SCAEC has hired a Regional Transitions Counselor to coordinate consortium-wide efforts and also work with schools that do not have any counseling services. Both positions assist adult school students transitioning into community college or short-term CTE classes or into the workforce.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2B1609" w:rsidRDefault="002B1609" w:rsidP="002B1609">
      <w:pPr>
        <w:spacing w:after="0"/>
      </w:pPr>
      <w:r>
        <w:t>SCAEC hired Sage Business &amp; Education to lead the efforts of Course Alignment and Pathway creation. The work is scheduled to begin on May 12</w:t>
      </w:r>
      <w:r w:rsidRPr="00C1263F">
        <w:rPr>
          <w:vertAlign w:val="superscript"/>
        </w:rPr>
        <w:t>th</w:t>
      </w:r>
      <w:r>
        <w:t xml:space="preserve"> with members sending faculty and staff to an all-day work session.</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b/>
        </w:rPr>
      </w:pPr>
      <w:r>
        <w:rPr>
          <w:b/>
        </w:rPr>
        <w:t>Objective 4: Gaps in Services</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strike/>
        </w:rPr>
      </w:pPr>
    </w:p>
    <w:p w:rsidR="002B1609" w:rsidRPr="00A6474D" w:rsidRDefault="002B1609" w:rsidP="002B1609">
      <w:pPr>
        <w:tabs>
          <w:tab w:val="left" w:pos="720"/>
          <w:tab w:val="left" w:pos="1440"/>
          <w:tab w:val="left" w:pos="2160"/>
          <w:tab w:val="left" w:pos="2880"/>
          <w:tab w:val="left" w:pos="3600"/>
          <w:tab w:val="left" w:pos="4320"/>
          <w:tab w:val="left" w:pos="5040"/>
          <w:tab w:val="left" w:pos="6376"/>
        </w:tabs>
        <w:spacing w:after="0"/>
        <w:rPr>
          <w:strike/>
        </w:rPr>
      </w:pPr>
      <w:r w:rsidRPr="00A6474D">
        <w:rPr>
          <w:strike/>
        </w:rPr>
        <w:t>The consortium is hiring Program Area Specialists to work with Members and Partners on the implementation of the Annual Plan and Strategies. SCAEC is also hiring two part-time Data and Assessment Specialists, who will serve all Members.</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r>
        <w:t>For a short time, SCAEC hired two part-time Program Area Specialists. SCAEC found that it was difficult to have dedicated focus from these two positions so has replaced them with three Transitions Specialists. SCAEC is currently in the process of hiring these positions. A full-time Data and Accountability specialist has been hired as well as a part-time Data and Accountability Specialist.</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2B1609" w:rsidRPr="00E127CD" w:rsidRDefault="002B1609" w:rsidP="002B1609">
      <w:pPr>
        <w:tabs>
          <w:tab w:val="left" w:pos="720"/>
          <w:tab w:val="left" w:pos="1440"/>
          <w:tab w:val="left" w:pos="2160"/>
          <w:tab w:val="left" w:pos="2880"/>
          <w:tab w:val="left" w:pos="3600"/>
          <w:tab w:val="left" w:pos="4320"/>
          <w:tab w:val="left" w:pos="5040"/>
          <w:tab w:val="left" w:pos="6376"/>
        </w:tabs>
        <w:spacing w:after="0"/>
        <w:rPr>
          <w:strike/>
        </w:rPr>
      </w:pPr>
      <w:r w:rsidRPr="00E127CD">
        <w:rPr>
          <w:strike/>
        </w:rPr>
        <w:t xml:space="preserve">Sanger, Madera, and Selma plan to use AEBG funds for capital investment.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r>
        <w:t>Sanger and Madera</w:t>
      </w:r>
      <w:r w:rsidR="004D260C">
        <w:t xml:space="preserve"> </w:t>
      </w:r>
      <w:bookmarkStart w:id="0" w:name="_GoBack"/>
      <w:bookmarkEnd w:id="0"/>
      <w:r>
        <w:t xml:space="preserve">plan to use AEBG funds for capital investment.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r>
        <w:t xml:space="preserve">Valley ROP is providing CTE classes at the smaller South Valley schools: Selma, Sanger, Dinuba, Kings Canyon.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b/>
        </w:rPr>
      </w:pPr>
      <w:r>
        <w:rPr>
          <w:b/>
        </w:rPr>
        <w:t>Objective 5:  Acceleration</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b/>
        </w:rPr>
      </w:pPr>
    </w:p>
    <w:p w:rsidR="002B1609" w:rsidRPr="00874948" w:rsidRDefault="002B1609" w:rsidP="002B1609">
      <w:pPr>
        <w:tabs>
          <w:tab w:val="left" w:pos="720"/>
          <w:tab w:val="left" w:pos="1440"/>
          <w:tab w:val="left" w:pos="2160"/>
          <w:tab w:val="left" w:pos="2880"/>
          <w:tab w:val="left" w:pos="3600"/>
          <w:tab w:val="left" w:pos="4320"/>
          <w:tab w:val="left" w:pos="5040"/>
          <w:tab w:val="left" w:pos="6376"/>
        </w:tabs>
        <w:spacing w:after="0"/>
        <w:rPr>
          <w:strike/>
        </w:rPr>
      </w:pPr>
      <w:r w:rsidRPr="00874948">
        <w:rPr>
          <w:strike/>
        </w:rPr>
        <w:t xml:space="preserve">SCAEC funded a Transition Counselor and will hire a second Transition Counselor to make progress toward student transition to community college or the workforce.  One services members on-site in the South Valley, and the other will service Members in the North Valley.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r>
        <w:t xml:space="preserve">SCAEC funded a Transitions Specialist and hired a Regional Transitions Counselor to make progress towards student transitions to community college or the workforce. The Transitions Specialist services members on-site in the South Valley. The Regional Transitions Counselor coordinates activities consortium-wide and works with member schools in the northern region at schools that do not have counselors on staff.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2B1609" w:rsidRDefault="002B1609" w:rsidP="002B1609">
      <w:pPr>
        <w:tabs>
          <w:tab w:val="left" w:pos="720"/>
          <w:tab w:val="left" w:pos="1440"/>
          <w:tab w:val="left" w:pos="2160"/>
          <w:tab w:val="left" w:pos="2880"/>
          <w:tab w:val="left" w:pos="3600"/>
          <w:tab w:val="left" w:pos="4320"/>
          <w:tab w:val="left" w:pos="5040"/>
          <w:tab w:val="left" w:pos="6376"/>
        </w:tabs>
        <w:spacing w:after="0"/>
        <w:rPr>
          <w:strike/>
        </w:rPr>
      </w:pPr>
      <w:r w:rsidRPr="00105775">
        <w:rPr>
          <w:strike/>
        </w:rPr>
        <w:t xml:space="preserve">Funding will be used for instructor release time to build distance learning curricula. SCAEC will explore the development of a curriculum for a compressed basic skills course. Members will receive </w:t>
      </w:r>
      <w:r w:rsidRPr="00105775">
        <w:rPr>
          <w:strike/>
        </w:rPr>
        <w:lastRenderedPageBreak/>
        <w:t xml:space="preserve">contextualized learning trainings for teachers, in addition to implementation guidance for the College and Career Readiness Standards. </w:t>
      </w:r>
    </w:p>
    <w:p w:rsidR="002B1609" w:rsidRPr="00105775" w:rsidRDefault="002B1609" w:rsidP="002B1609">
      <w:pPr>
        <w:tabs>
          <w:tab w:val="left" w:pos="720"/>
          <w:tab w:val="left" w:pos="1440"/>
          <w:tab w:val="left" w:pos="2160"/>
          <w:tab w:val="left" w:pos="2880"/>
          <w:tab w:val="left" w:pos="3600"/>
          <w:tab w:val="left" w:pos="4320"/>
          <w:tab w:val="left" w:pos="5040"/>
          <w:tab w:val="left" w:pos="6376"/>
        </w:tabs>
        <w:spacing w:after="0"/>
      </w:pPr>
      <w:r>
        <w:t xml:space="preserve">Sub-committees  will continue to meet on a quarterly basis or in work groups, where adult school teachers and staff and college faculty and staff come together to address gaps, plan activities for course alignment, student transitions, and acceleration of learning. </w:t>
      </w:r>
    </w:p>
    <w:p w:rsidR="002B1609" w:rsidRDefault="002B1609" w:rsidP="002B1609">
      <w:pPr>
        <w:tabs>
          <w:tab w:val="left" w:pos="720"/>
          <w:tab w:val="left" w:pos="1440"/>
          <w:tab w:val="left" w:pos="2160"/>
          <w:tab w:val="left" w:pos="2880"/>
          <w:tab w:val="left" w:pos="3600"/>
          <w:tab w:val="left" w:pos="4320"/>
          <w:tab w:val="left" w:pos="5040"/>
          <w:tab w:val="left" w:pos="6376"/>
        </w:tabs>
        <w:spacing w:after="0"/>
      </w:pPr>
    </w:p>
    <w:p w:rsidR="00443E99" w:rsidRDefault="00443E99"/>
    <w:sectPr w:rsidR="0044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09"/>
    <w:rsid w:val="002B1609"/>
    <w:rsid w:val="00443E99"/>
    <w:rsid w:val="004D260C"/>
    <w:rsid w:val="00D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696F-8635-4131-9CBF-FC2FAC2E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Emrany</dc:creator>
  <cp:keywords/>
  <dc:description/>
  <cp:lastModifiedBy>Amy Emrany</cp:lastModifiedBy>
  <cp:revision>2</cp:revision>
  <dcterms:created xsi:type="dcterms:W3CDTF">2017-05-15T23:27:00Z</dcterms:created>
  <dcterms:modified xsi:type="dcterms:W3CDTF">2017-05-15T23:35:00Z</dcterms:modified>
</cp:coreProperties>
</file>